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overflowPunct/>
        <w:topLinePunct w:val="0"/>
        <w:autoSpaceDE/>
        <w:autoSpaceDN/>
        <w:bidi w:val="0"/>
        <w:adjustRightInd/>
        <w:spacing w:line="440" w:lineRule="exact"/>
        <w:jc w:val="center"/>
        <w:outlineLvl w:val="0"/>
        <w:rPr>
          <w:rFonts w:ascii="方正小标宋简体" w:hAnsi="方正小标宋简体" w:eastAsia="方正小标宋简体" w:cs="方正小标宋简体"/>
          <w:b w:val="0"/>
          <w:bCs/>
          <w:color w:val="000000" w:themeColor="text1"/>
          <w:kern w:val="44"/>
          <w:sz w:val="44"/>
          <w:szCs w:val="22"/>
          <w14:textFill>
            <w14:solidFill>
              <w14:schemeClr w14:val="tx1"/>
            </w14:solidFill>
          </w14:textFill>
        </w:rPr>
      </w:pPr>
      <w:bookmarkStart w:id="1" w:name="_GoBack"/>
      <w:bookmarkStart w:id="0" w:name="_Toc22213"/>
      <w:r>
        <w:rPr>
          <w:rFonts w:ascii="方正小标宋简体" w:hAnsi="方正小标宋简体" w:eastAsia="方正小标宋简体" w:cs="方正小标宋简体"/>
          <w:b w:val="0"/>
          <w:bCs/>
          <w:color w:val="000000" w:themeColor="text1"/>
          <w:kern w:val="44"/>
          <w:sz w:val="44"/>
          <w:szCs w:val="22"/>
          <w14:textFill>
            <w14:solidFill>
              <w14:schemeClr w14:val="tx1"/>
            </w14:solidFill>
          </w14:textFill>
        </w:rPr>
        <w:t>外商投资准入特别管理措施（负面清单）（2019 年版）</w:t>
      </w:r>
      <w:bookmarkEnd w:id="1"/>
      <w:bookmarkEnd w:id="0"/>
    </w:p>
    <w:p>
      <w:pPr>
        <w:pageBreakBefore w:val="0"/>
        <w:widowControl/>
        <w:kinsoku/>
        <w:overflowPunct/>
        <w:topLinePunct w:val="0"/>
        <w:autoSpaceDE/>
        <w:autoSpaceDN/>
        <w:bidi w:val="0"/>
        <w:adjustRightInd/>
        <w:spacing w:line="440" w:lineRule="exact"/>
        <w:jc w:val="center"/>
        <w:rPr>
          <w:rFonts w:ascii="方正小标宋简体" w:hAnsi="方正小标宋简体" w:eastAsia="方正小标宋简体" w:cs="方正小标宋简体"/>
          <w:color w:val="000000" w:themeColor="text1"/>
          <w:sz w:val="28"/>
          <w:szCs w:val="36"/>
          <w14:textFill>
            <w14:solidFill>
              <w14:schemeClr w14:val="tx1"/>
            </w14:solidFill>
          </w14:textFill>
        </w:rPr>
      </w:pPr>
      <w:r>
        <w:rPr>
          <w:rFonts w:ascii="方正小标宋简体" w:hAnsi="方正小标宋简体" w:eastAsia="方正小标宋简体" w:cs="方正小标宋简体"/>
          <w:color w:val="000000" w:themeColor="text1"/>
          <w:sz w:val="28"/>
          <w:szCs w:val="36"/>
          <w14:textFill>
            <w14:solidFill>
              <w14:schemeClr w14:val="tx1"/>
            </w14:solidFill>
          </w14:textFill>
        </w:rPr>
        <w:t>说明</w:t>
      </w:r>
    </w:p>
    <w:p>
      <w:pPr>
        <w:pageBreakBefore w:val="0"/>
        <w:widowControl/>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p>
    <w:p>
      <w:pPr>
        <w:pageBreakBefore w:val="0"/>
        <w:widowControl/>
        <w:numPr>
          <w:ilvl w:val="0"/>
          <w:numId w:val="1"/>
        </w:numPr>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外商投资准入特别管理措施（负面清单）》（以下简称《外商投资准入负面清单》）统一列出股权要求、高管要求等外商投资准入方面的特别管理措施。《外商投资准入负面清单》之外的领域，按照内外资一致原则实施管理。</w:t>
      </w:r>
    </w:p>
    <w:p>
      <w:pPr>
        <w:pageBreakBefore w:val="0"/>
        <w:widowControl/>
        <w:numPr>
          <w:ilvl w:val="0"/>
          <w:numId w:val="1"/>
        </w:numPr>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《外商投资准入负面清单》对部分领域列出了取消或放宽准入限制的过渡期，过渡期满后将按时取消或放宽其准入限制。</w:t>
      </w:r>
    </w:p>
    <w:p>
      <w:pPr>
        <w:pageBreakBefore w:val="0"/>
        <w:widowControl/>
        <w:numPr>
          <w:ilvl w:val="0"/>
          <w:numId w:val="1"/>
        </w:numPr>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境外投资者不得作为个体工商户、个人独资企业投资人、农民专业合作社成员，从事投资经营活动。</w:t>
      </w:r>
    </w:p>
    <w:p>
      <w:pPr>
        <w:pageBreakBefore w:val="0"/>
        <w:widowControl/>
        <w:numPr>
          <w:ilvl w:val="0"/>
          <w:numId w:val="1"/>
        </w:numPr>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境外投资者不得投资《外商投资准入负面清单》中禁止外商投资的领域；投资《外商投资准入负面清单》之内的非禁止投资领域，须进行外资准入许可；投资有股权要求的领域，不得设立外商投资合伙企业</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w:t>
      </w:r>
    </w:p>
    <w:p>
      <w:pPr>
        <w:pageBreakBefore w:val="0"/>
        <w:widowControl/>
        <w:numPr>
          <w:ilvl w:val="0"/>
          <w:numId w:val="1"/>
        </w:numPr>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境内公司、企业或自然人以其在境外合法设立或控制的公司并购与其有关联关系的境内公司，涉及外商投资项目和企业设立及变更事项的，按照现行规定办理。</w:t>
      </w:r>
    </w:p>
    <w:p>
      <w:pPr>
        <w:pageBreakBefore w:val="0"/>
        <w:widowControl/>
        <w:kinsoku/>
        <w:overflowPunct/>
        <w:topLinePunct w:val="0"/>
        <w:autoSpaceDE/>
        <w:autoSpaceDN/>
        <w:bidi w:val="0"/>
        <w:adjustRightInd/>
        <w:spacing w:line="440" w:lineRule="exact"/>
        <w:ind w:firstLine="640" w:firstLineChars="200"/>
        <w:jc w:val="left"/>
        <w:rPr>
          <w:rFonts w:ascii="&amp;quot" w:hAnsi="&amp;quot" w:eastAsia="&amp;quot" w:cs="&amp;quot"/>
          <w:color w:val="000000" w:themeColor="text1"/>
          <w:sz w:val="14"/>
          <w:szCs w:val="14"/>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六、</w:t>
      </w: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《外商投资准入负面清单》中未列出的文化、金融等领域与行政审批、资质条件、国家安全等相关措施，按照现行规定执行</w:t>
      </w: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w:t>
      </w:r>
    </w:p>
    <w:p>
      <w:pPr>
        <w:pageBreakBefore w:val="0"/>
        <w:widowControl/>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七、</w:t>
      </w: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内地与香港关于建立更紧密经贸关系的安排》及其后续协议、《内地与澳门关于建立更紧密经贸关系的安排》及其后续协议、《海峡两岸经济合作框架协议》及其后续协议、我国与有关国家签订的自由贸易区协议和投资协定、我国参加的国际条约对符合条件的投资者有更优惠开放措施的，按照相关协议或协定的规定执行。在自由贸易试验区等特殊经济区域对符合条件的投资者实施更优惠开放措施的，按照相关规定执行。</w:t>
      </w:r>
    </w:p>
    <w:p>
      <w:pPr>
        <w:pageBreakBefore w:val="0"/>
        <w:widowControl/>
        <w:kinsoku/>
        <w:overflowPunct/>
        <w:topLinePunct w:val="0"/>
        <w:autoSpaceDE/>
        <w:autoSpaceDN/>
        <w:bidi w:val="0"/>
        <w:adjustRightInd/>
        <w:spacing w:line="440" w:lineRule="exact"/>
        <w:ind w:firstLine="640" w:firstLineChars="200"/>
        <w:jc w:val="left"/>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t>八、《外商投资准入负面清单》由发展改革委、商务部会同有关部门负责解释。</w:t>
      </w:r>
    </w:p>
    <w:p>
      <w:pPr>
        <w:pageBreakBefore w:val="0"/>
        <w:widowControl/>
        <w:kinsoku/>
        <w:overflowPunct/>
        <w:topLinePunct w:val="0"/>
        <w:autoSpaceDE/>
        <w:autoSpaceDN/>
        <w:bidi w:val="0"/>
        <w:adjustRightInd/>
        <w:spacing w:line="440" w:lineRule="exact"/>
        <w:ind w:firstLine="640" w:firstLineChars="200"/>
        <w:jc w:val="cente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p>
    <w:p>
      <w:pPr>
        <w:pageBreakBefore w:val="0"/>
        <w:widowControl/>
        <w:kinsoku/>
        <w:overflowPunct/>
        <w:topLinePunct w:val="0"/>
        <w:autoSpaceDE/>
        <w:autoSpaceDN/>
        <w:bidi w:val="0"/>
        <w:adjustRightInd/>
        <w:spacing w:line="440" w:lineRule="exact"/>
        <w:ind w:firstLine="640" w:firstLineChars="200"/>
        <w:jc w:val="cente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p>
    <w:p>
      <w:pPr>
        <w:pageBreakBefore w:val="0"/>
        <w:widowControl/>
        <w:kinsoku/>
        <w:overflowPunct/>
        <w:topLinePunct w:val="0"/>
        <w:autoSpaceDE/>
        <w:autoSpaceDN/>
        <w:bidi w:val="0"/>
        <w:adjustRightInd/>
        <w:spacing w:line="440" w:lineRule="exact"/>
        <w:ind w:firstLine="640" w:firstLineChars="200"/>
        <w:jc w:val="cente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p>
    <w:p>
      <w:pPr>
        <w:pageBreakBefore w:val="0"/>
        <w:widowControl/>
        <w:kinsoku/>
        <w:overflowPunct/>
        <w:topLinePunct w:val="0"/>
        <w:autoSpaceDE/>
        <w:autoSpaceDN/>
        <w:bidi w:val="0"/>
        <w:adjustRightInd/>
        <w:spacing w:line="440" w:lineRule="exact"/>
        <w:ind w:firstLine="640" w:firstLineChars="200"/>
        <w:jc w:val="cente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br w:type="textWrapping"/>
      </w:r>
    </w:p>
    <w:p>
      <w:pP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pPr>
      <w:r>
        <w:rPr>
          <w:rFonts w:ascii="仿宋_GB2312" w:hAnsi="仿宋_GB2312" w:eastAsia="仿宋_GB2312" w:cs="仿宋_GB2312"/>
          <w:color w:val="000000" w:themeColor="text1"/>
          <w:kern w:val="0"/>
          <w:sz w:val="32"/>
          <w:szCs w:val="32"/>
          <w:shd w:val="clear" w:color="auto" w:fill="FFFFFF"/>
          <w:lang w:bidi="ar"/>
          <w14:textFill>
            <w14:solidFill>
              <w14:schemeClr w14:val="tx1"/>
            </w14:solidFill>
          </w14:textFill>
        </w:rPr>
        <w:br w:type="page"/>
      </w:r>
    </w:p>
    <w:p>
      <w:pPr>
        <w:pageBreakBefore w:val="0"/>
        <w:widowControl/>
        <w:kinsoku/>
        <w:overflowPunct/>
        <w:topLinePunct w:val="0"/>
        <w:autoSpaceDE/>
        <w:autoSpaceDN/>
        <w:bidi w:val="0"/>
        <w:adjustRightInd/>
        <w:spacing w:line="440" w:lineRule="exact"/>
        <w:jc w:val="both"/>
        <w:rPr>
          <w:rFonts w:ascii="仿宋_GB2312" w:hAnsi="仿宋_GB2312" w:eastAsia="仿宋_GB2312" w:cs="仿宋_GB2312"/>
          <w:color w:val="000000" w:themeColor="text1"/>
          <w:kern w:val="0"/>
          <w:sz w:val="36"/>
          <w:szCs w:val="36"/>
          <w:lang w:bidi="ar"/>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36"/>
          <w:szCs w:val="36"/>
          <w:lang w:bidi="ar"/>
          <w14:textFill>
            <w14:solidFill>
              <w14:schemeClr w14:val="tx1"/>
            </w14:solidFill>
          </w14:textFill>
        </w:rPr>
        <w:t>外商投资准入特别管理措施（负面清单）（2019 年版）</w:t>
      </w:r>
      <w:r>
        <w:rPr>
          <w:rFonts w:hint="eastAsia" w:ascii="方正小标宋简体" w:hAnsi="方正小标宋简体" w:eastAsia="方正小标宋简体" w:cs="方正小标宋简体"/>
          <w:color w:val="000000" w:themeColor="text1"/>
          <w:kern w:val="0"/>
          <w:sz w:val="36"/>
          <w:szCs w:val="36"/>
          <w:lang w:bidi="ar"/>
          <w14:textFill>
            <w14:solidFill>
              <w14:schemeClr w14:val="tx1"/>
            </w14:solidFill>
          </w14:textFill>
        </w:rPr>
        <w:br w:type="textWrapping"/>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7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黑体" w:hAnsi="黑体" w:eastAsia="黑体" w:cs="黑体"/>
                <w:b/>
                <w:bCs/>
                <w:color w:val="000000" w:themeColor="text1"/>
                <w:kern w:val="0"/>
                <w:sz w:val="28"/>
                <w:szCs w:val="28"/>
                <w:lang w:bidi="ar"/>
                <w14:textFill>
                  <w14:solidFill>
                    <w14:schemeClr w14:val="tx1"/>
                  </w14:solidFill>
                </w14:textFill>
              </w:rPr>
            </w:pPr>
            <w:r>
              <w:rPr>
                <w:rFonts w:hint="eastAsia" w:ascii="黑体" w:hAnsi="黑体" w:eastAsia="黑体" w:cs="黑体"/>
                <w:b/>
                <w:bCs/>
                <w:color w:val="000000" w:themeColor="text1"/>
                <w:kern w:val="0"/>
                <w:sz w:val="28"/>
                <w:szCs w:val="28"/>
                <w:lang w:bidi="ar"/>
                <w14:textFill>
                  <w14:solidFill>
                    <w14:schemeClr w14:val="tx1"/>
                  </w14:solidFill>
                </w14:textFill>
              </w:rPr>
              <w:t>序号</w:t>
            </w:r>
          </w:p>
        </w:tc>
        <w:tc>
          <w:tcPr>
            <w:tcW w:w="7588" w:type="dxa"/>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黑体" w:hAnsi="黑体" w:eastAsia="黑体" w:cs="黑体"/>
                <w:b/>
                <w:bCs/>
                <w:color w:val="000000" w:themeColor="text1"/>
                <w:kern w:val="0"/>
                <w:sz w:val="28"/>
                <w:szCs w:val="28"/>
                <w:lang w:bidi="ar"/>
                <w14:textFill>
                  <w14:solidFill>
                    <w14:schemeClr w14:val="tx1"/>
                  </w14:solidFill>
                </w14:textFill>
              </w:rPr>
            </w:pPr>
            <w:r>
              <w:rPr>
                <w:rFonts w:hint="eastAsia" w:ascii="黑体" w:hAnsi="黑体" w:eastAsia="黑体" w:cs="黑体"/>
                <w:b/>
                <w:bCs/>
                <w:color w:val="000000" w:themeColor="text1"/>
                <w:kern w:val="0"/>
                <w:sz w:val="28"/>
                <w:szCs w:val="28"/>
                <w:lang w:bidi="ar"/>
                <w14:textFill>
                  <w14:solidFill>
                    <w14:schemeClr w14:val="tx1"/>
                  </w14:solidFill>
                </w14:textFill>
              </w:rPr>
              <w:t>特别管理措施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一、农、林、牧、渔业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小麦、玉米新品种选育和种子生产须由中方控股。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禁止投资中国稀有和特有的珍贵优良品种的研发、养殖、种植以及相关繁殖材料的</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生产（包括种植业、畜牧业、水产业的优良基因）。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禁止投资农作物、种畜禽、水产苗种转基因品种选育及其转基因种子（苗）生产。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4</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禁止投资中国管辖海域及内陆水域水产品捕捞。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二、采矿业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5</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禁止投资稀土、放射性矿产、钨勘查、开采及选矿。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三、制造业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6</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出版物印刷须由中方控股。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7</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禁止投资放射性矿产冶炼、加工，核燃料生产。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8</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禁止投资中药饮片的蒸、炒、炙、煅等炮制技术的应用及中成药保密处方产品的生产。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9</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除专用车、新能源汽车外，汽车整车制造的中方股比不低于50%，同一家外商可在国内建立两家及两家以下生产同类整车产品的合资企业。（2020 年取消商用车制造外资股比限制。2022 年取消乘用车制造外资股比限制以及同一家外商可在国内建立两家及两家以下生产同类整车产品的合资企业的限制）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10</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卫星电视广播地面接收设施及关键件生产。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四、电力、热力、燃气及水生产和供应业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11</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核电站的建设、经营须由中方控股。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12</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城市人口50 万以上的城市供排水管网的建设、经营须由中方控股。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五、批发和零售业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13</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禁止投资烟叶、卷烟、复烤烟叶及其他烟草制品的批发、零售。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六、交通运输、仓储和邮政业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14</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国内水上运输公司须由中方控股。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15</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公共航空运输公司须由中方控股，且一家外商及其关联企业投资比例不得超过25%，法定代表人须由中国籍公民担任。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16</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通用航空公司的法定代表人须由中国籍公民担任，其中农、林、渔业通用航空公司限于合资，其他通用航空公司限于中方控股。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17</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民用机场的建设、经营须由中方相对控股。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18</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禁止投资空中交通管制。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19</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禁止投资邮政公司、信件的国内快递业务。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七、信息传输、软件和信息技术服务业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20</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电信公司：限于中国入世承诺开放的电信业务，增值电信业务的外资股比不超过50%（电子商务、国内多方通信、存储转发类、呼叫中心除外），基础电信业务须由中方控股。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21</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禁止投资互联网新闻信息服务、网络出版服务、网络视听节目服务、互联网文化经营（音乐除外）、互联网公众发布信息服务（上述服务中，中国入世承诺中已开放的内容除外）。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八、金融业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22</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证券公司的外资股比不超过51%，证券投资基金管理公司的外资股比不超过51%。（2021 年取消外资股比限制）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23</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期货公司的外资股比不超过51%。（2021 年取消外资股比限制）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24</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寿险公司的外资股比不超过51%。（2021 年取消外资股比限制）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九、租赁和商务服务业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25</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禁止投资中国法律事务（提供有关中国法律环境影响的信息除外），不得成为国内律师事务所合伙人。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26</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市场调查限于合资、合作，其中广播电视收听、收视调查须由中方控股。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27</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禁止投资社会调查。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十、科学研究和技术服务业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28</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禁止投资人体干细胞、基因诊断与治疗技术开发和应用。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29</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禁止投资人文社会科学研究机构。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30</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大地测量、海洋测绘、测绘航空摄影、地面移动测量、行政区域界线测绘，地形图、世界政区地图、全国政区地图、省级及以下政区地图、全国性教学地图、地方性教学地图、真三维地图和导航电子地图编制，区域性的地质填图、矿产地质、地球物理、地球化学、水文地质、环境地质、地质灾害、遥感地质等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十一、教育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31</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学前、普通高中和高等教育机构限于中外合作办学，须由中方主导（校长或者主要行政负责人应当具有中国国籍，理事会、董事会或者联合管理委员会的中方组成人员不得少于1/2）。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32</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禁止投资义务教育机构、宗教教育机构。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十二、卫生和社会工作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33</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医疗机构限于合资、合作。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十三、文化、体育和娱乐业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34</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禁止投资新闻机构（包括但不限于通讯社）。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35</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禁止投资图书、报纸、期刊、音像制品和电子出版物的编辑、出版、制作业务。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36</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各级广播电台（站）、电视台（站）、广播电视频道（率）、广播电视传输覆盖网（发射台、转播台、广播电视卫星、卫星上行站、卫星收转站、微波站、监测台及有线广播电视传输覆盖网等），禁止从事广播电视视频点播业务和卫星电视广播地面接收设施安装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37</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禁止投资广播电视节目制作经营（含引进业务）公司。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38</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禁止投资电影制作公司、发行公司、院线公司以及电影引进业务。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39</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禁止投资文物拍卖的拍卖公司、文物商店和国有文物博物馆。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dxa"/>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40</w:t>
            </w:r>
          </w:p>
        </w:tc>
        <w:tc>
          <w:tcPr>
            <w:tcW w:w="7588" w:type="dxa"/>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ascii="仿宋_GB2312" w:hAnsi="仿宋_GB2312" w:eastAsia="仿宋_GB2312" w:cs="仿宋_GB2312"/>
                <w:color w:val="000000" w:themeColor="text1"/>
                <w:kern w:val="0"/>
                <w:sz w:val="28"/>
                <w:szCs w:val="28"/>
                <w:lang w:bidi="ar"/>
                <w14:textFill>
                  <w14:solidFill>
                    <w14:schemeClr w14:val="tx1"/>
                  </w14:solidFill>
                </w14:textFill>
              </w:rPr>
            </w:pPr>
            <w:r>
              <w:rPr>
                <w:rFonts w:hint="eastAsia" w:ascii="仿宋_GB2312" w:hAnsi="仿宋_GB2312" w:eastAsia="仿宋_GB2312" w:cs="仿宋_GB2312"/>
                <w:color w:val="000000" w:themeColor="text1"/>
                <w:kern w:val="0"/>
                <w:sz w:val="28"/>
                <w:szCs w:val="28"/>
                <w:lang w:bidi="ar"/>
                <w14:textFill>
                  <w14:solidFill>
                    <w14:schemeClr w14:val="tx1"/>
                  </w14:solidFill>
                </w14:textFill>
              </w:rPr>
              <w:t>禁止投资文艺表演团体。</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mp;quot">
    <w:altName w:val="Calibri"/>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5FB187"/>
    <w:multiLevelType w:val="singleLevel"/>
    <w:tmpl w:val="BC5FB1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D22AA"/>
    <w:rsid w:val="79ED2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2020-10-19T06:10:00Z</dcterms:created>
  <dc:creator>Administrator</dc:creator>
  <cp:lastModifiedBy>Administrator</cp:lastModifiedBy>
  <dcterms:modified xsi:type="dcterms:W3CDTF">2020-10-19T06:10:38Z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